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BE" w:rsidRPr="00FE1597" w:rsidRDefault="006E05BE" w:rsidP="0056063A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FE159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E159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E159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6E05BE" w:rsidRPr="00FE1597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E15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</w:p>
    <w:p w:rsidR="006E05BE" w:rsidRPr="00FE1597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1597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технічних та якісних характеристик закупівлі, розміру бюджетного призначення, очікуваної вартості предмета закупівлі відповідно до постанови Кабінету Міністрів України від 11.10.2016 № 710 «Про ефективне використання державних коштів» (зі змінами)</w:t>
      </w:r>
    </w:p>
    <w:p w:rsidR="006E05BE" w:rsidRPr="00FE1597" w:rsidRDefault="006E05BE" w:rsidP="006E05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3F67" w:rsidRPr="00FE1597" w:rsidRDefault="006E05BE" w:rsidP="00CB5547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FE159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Назва предмета закупівлі із зазначенням коду за Єдиним закупівельним словником:</w:t>
      </w:r>
      <w:r w:rsidRPr="00FE1597">
        <w:rPr>
          <w:lang w:val="uk-UA"/>
        </w:rPr>
        <w:t xml:space="preserve"> </w:t>
      </w:r>
      <w:r w:rsidR="00AB0112" w:rsidRPr="00FE15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Лікарські засоби різні (Код ДК 021:2015: 33690000-3 Лікарські засоби різні</w:t>
      </w:r>
    </w:p>
    <w:p w:rsidR="006E05BE" w:rsidRPr="00FE1597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159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Ідентифікатор закупівлі: </w:t>
      </w:r>
      <w:r w:rsidR="00AB0112" w:rsidRPr="00FE1597">
        <w:rPr>
          <w:rFonts w:ascii="Times New Roman" w:hAnsi="Times New Roman" w:cs="Times New Roman"/>
          <w:bCs/>
          <w:sz w:val="24"/>
          <w:szCs w:val="24"/>
          <w:lang w:val="uk-UA"/>
        </w:rPr>
        <w:t>UA-2024-04-19-010555-a</w:t>
      </w:r>
    </w:p>
    <w:p w:rsidR="00EA49FF" w:rsidRPr="00FE1597" w:rsidRDefault="00EA49FF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FE159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Вид закупівлі:</w:t>
      </w:r>
      <w:r w:rsidRPr="00FE15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B5547" w:rsidRPr="00FE15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відкриті торги з особливостями</w:t>
      </w:r>
    </w:p>
    <w:p w:rsidR="006E05BE" w:rsidRPr="00FE1597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FE159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розміру бюджетного призначення: </w:t>
      </w:r>
      <w:r w:rsidRPr="00FE15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 бюджетного призначення визначався згідно до </w:t>
      </w:r>
      <w:r w:rsidRPr="00FE1597">
        <w:rPr>
          <w:rFonts w:ascii="Times New Roman" w:hAnsi="Times New Roman" w:cs="Times New Roman"/>
          <w:sz w:val="24"/>
          <w:szCs w:val="24"/>
          <w:lang w:val="uk-UA"/>
        </w:rPr>
        <w:t>Закону України «Про Державний бюджет України на 202</w:t>
      </w:r>
      <w:r w:rsidR="00BF1918" w:rsidRPr="00FE159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E1597">
        <w:rPr>
          <w:rFonts w:ascii="Times New Roman" w:hAnsi="Times New Roman" w:cs="Times New Roman"/>
          <w:sz w:val="24"/>
          <w:szCs w:val="24"/>
          <w:lang w:val="uk-UA"/>
        </w:rPr>
        <w:t xml:space="preserve"> рік» за КПКВ  1001050 та</w:t>
      </w:r>
      <w:r w:rsidRPr="00FE15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розподілу видатків відповідно </w:t>
      </w:r>
      <w:r w:rsidR="00BF1918" w:rsidRPr="00FE15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FE15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ошторису на 202</w:t>
      </w:r>
      <w:r w:rsidR="00BF1918" w:rsidRPr="00FE15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FE15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рік., а також доведеного плану асигнувань.</w:t>
      </w:r>
    </w:p>
    <w:p w:rsidR="006E05BE" w:rsidRPr="00FE1597" w:rsidRDefault="006E05BE" w:rsidP="00135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597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очікуваної вартості предмета закупівлі:</w:t>
      </w:r>
      <w:r w:rsidRPr="00FE15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2210B" w:rsidRPr="00FE1597" w:rsidRDefault="0072210B" w:rsidP="00FE7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597">
        <w:rPr>
          <w:rFonts w:ascii="Times New Roman" w:hAnsi="Times New Roman" w:cs="Times New Roman"/>
          <w:sz w:val="24"/>
          <w:szCs w:val="24"/>
          <w:lang w:val="uk-UA"/>
        </w:rPr>
        <w:t xml:space="preserve">Для визначення очікуваної вартості предмета закупівлі скористалися методом порівняння ринкових цін визначеним в наказі </w:t>
      </w:r>
      <w:proofErr w:type="spellStart"/>
      <w:r w:rsidRPr="00FE1597">
        <w:rPr>
          <w:rFonts w:ascii="Times New Roman" w:hAnsi="Times New Roman" w:cs="Times New Roman"/>
          <w:sz w:val="24"/>
          <w:szCs w:val="24"/>
          <w:lang w:val="uk-UA"/>
        </w:rPr>
        <w:t>Мінекономрозвитку</w:t>
      </w:r>
      <w:proofErr w:type="spellEnd"/>
      <w:r w:rsidRPr="00FE1597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примірної методики визначення очікуваної вартості предмета закупівлі» від 18.02.2020  № 275.</w:t>
      </w:r>
    </w:p>
    <w:p w:rsidR="00AB0112" w:rsidRPr="00FE1597" w:rsidRDefault="00AB0112" w:rsidP="0072210B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bookmarkStart w:id="0" w:name="n45"/>
      <w:bookmarkEnd w:id="0"/>
      <w:r w:rsidRPr="00FE1597">
        <w:rPr>
          <w:lang w:val="uk-UA"/>
        </w:rPr>
        <w:t xml:space="preserve">За основу було взято дані з комерційних пропозицій постачальників, що продають необхідні медичні вироби. </w:t>
      </w:r>
      <w:r w:rsidR="0072210B" w:rsidRPr="00FE1597">
        <w:rPr>
          <w:lang w:val="uk-UA"/>
        </w:rPr>
        <w:t xml:space="preserve">Таким чином, очікувана вартість закупівлі складає </w:t>
      </w:r>
      <w:r w:rsidRPr="00FE1597">
        <w:rPr>
          <w:color w:val="000000"/>
          <w:lang w:val="uk-UA"/>
        </w:rPr>
        <w:t xml:space="preserve">25 975,00 грн. (двадцять п’ять тисяч  дев’ятсот сімдесят п’ять грн, 00 коп.) </w:t>
      </w:r>
      <w:r w:rsidR="004410B2" w:rsidRPr="00FE1597">
        <w:rPr>
          <w:color w:val="000000"/>
          <w:lang w:val="uk-UA"/>
        </w:rPr>
        <w:t>з ПДВ</w:t>
      </w:r>
      <w:r w:rsidR="00621263" w:rsidRPr="00FE1597">
        <w:rPr>
          <w:color w:val="000000"/>
          <w:lang w:val="uk-UA"/>
        </w:rPr>
        <w:t>.</w:t>
      </w:r>
    </w:p>
    <w:p w:rsidR="00BF1918" w:rsidRPr="00FE1597" w:rsidRDefault="00BF1918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A228FF" w:rsidRPr="00FE1597" w:rsidRDefault="006E05BE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FE159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технічних та якісних характеристик предмета закупівлі: </w:t>
      </w:r>
    </w:p>
    <w:p w:rsidR="00A228FF" w:rsidRPr="00FE1597" w:rsidRDefault="00854480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597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r w:rsidR="00A228FF" w:rsidRPr="00FE15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ехнічні та якісні характеристики предмета закупівлі визначалися з урахуванням </w:t>
      </w:r>
      <w:r w:rsidR="00741CC0" w:rsidRPr="00FE15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</w:t>
      </w:r>
      <w:r w:rsidR="00A228FF" w:rsidRPr="00FE1597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сфері охорони здоров’я</w:t>
      </w:r>
      <w:r w:rsidR="00741CC0" w:rsidRPr="00FE159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41CC0" w:rsidRPr="00FE1597" w:rsidRDefault="0072210B" w:rsidP="00384621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1597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Технічні та якісні характеристики медичного виробу повинні  відповідати вимогам Технічного регламенту для медичних виробів, затвердженого постановою КМУ від 02.10.2013 № 753. Сам предмет закупівлі має бути введений в обіг відповідно до чинного законодавства у сфері технічного регулювання та оцінки відповідності (</w:t>
      </w:r>
      <w:r w:rsidRPr="00FE1597">
        <w:rPr>
          <w:rFonts w:ascii="Times New Roman" w:hAnsi="Times New Roman" w:cs="Times New Roman"/>
          <w:sz w:val="24"/>
          <w:szCs w:val="24"/>
          <w:lang w:val="uk-UA"/>
        </w:rPr>
        <w:t>підтвердженням введення в обіг та/або експлуатації (застосування) медичного виробу за результатами проходження процедури оцінки відповідності згідно вимог технічного регламенту є Декларація про відповідність</w:t>
      </w:r>
      <w:r w:rsidR="00831B82" w:rsidRPr="00FE1597">
        <w:rPr>
          <w:rFonts w:ascii="Times New Roman" w:hAnsi="Times New Roman" w:cs="Times New Roman"/>
          <w:sz w:val="24"/>
          <w:szCs w:val="24"/>
          <w:lang w:val="uk-UA"/>
        </w:rPr>
        <w:t>/Сертифікат відповідності</w:t>
      </w:r>
      <w:r w:rsidRPr="00FE1597">
        <w:rPr>
          <w:rFonts w:ascii="Times New Roman" w:hAnsi="Times New Roman" w:cs="Times New Roman"/>
          <w:sz w:val="24"/>
          <w:szCs w:val="24"/>
          <w:lang w:val="uk-UA"/>
        </w:rPr>
        <w:t xml:space="preserve">). Медичні вироби повинні мати </w:t>
      </w:r>
      <w:r w:rsidRPr="00FE15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маркування на етикетці та </w:t>
      </w:r>
      <w:r w:rsidR="00741CC0" w:rsidRPr="00FE1597">
        <w:rPr>
          <w:rFonts w:ascii="Times New Roman" w:eastAsia="Times New Roman" w:hAnsi="Times New Roman" w:cs="Times New Roman"/>
          <w:sz w:val="24"/>
          <w:szCs w:val="24"/>
          <w:lang w:val="uk-UA"/>
        </w:rPr>
        <w:t>інструкцію для застосування.</w:t>
      </w:r>
      <w:r w:rsidR="00C938B5" w:rsidRPr="00FE15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E05BE" w:rsidRPr="00FE1597" w:rsidRDefault="00212A6D" w:rsidP="0038462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597">
        <w:rPr>
          <w:rFonts w:ascii="Times New Roman" w:hAnsi="Times New Roman" w:cs="Times New Roman"/>
          <w:sz w:val="24"/>
          <w:szCs w:val="24"/>
          <w:lang w:val="uk-UA"/>
        </w:rPr>
        <w:t>Основні технічні та якісні характеристики наведені в таблиці нижче: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7449"/>
      </w:tblGrid>
      <w:tr w:rsidR="00AB0112" w:rsidRPr="00FE1597" w:rsidTr="00FE1597">
        <w:trPr>
          <w:trHeight w:val="345"/>
          <w:jc w:val="center"/>
        </w:trPr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AB0112" w:rsidRPr="00FE1597" w:rsidRDefault="00AB0112" w:rsidP="00F8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b/>
                <w:color w:val="000000"/>
                <w:lang w:val="uk-UA"/>
              </w:rPr>
              <w:t>Найменування</w:t>
            </w:r>
          </w:p>
        </w:tc>
        <w:tc>
          <w:tcPr>
            <w:tcW w:w="7449" w:type="dxa"/>
            <w:shd w:val="clear" w:color="auto" w:fill="auto"/>
            <w:noWrap/>
            <w:vAlign w:val="center"/>
            <w:hideMark/>
          </w:tcPr>
          <w:p w:rsidR="00AB0112" w:rsidRPr="00FE1597" w:rsidRDefault="00AB0112" w:rsidP="00F8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b/>
                <w:color w:val="000000"/>
                <w:lang w:val="uk-UA"/>
              </w:rPr>
              <w:t>Характеристики та вимоги</w:t>
            </w:r>
          </w:p>
        </w:tc>
      </w:tr>
      <w:tr w:rsidR="00AB0112" w:rsidRPr="00FE1597" w:rsidTr="00FE1597">
        <w:trPr>
          <w:trHeight w:val="275"/>
          <w:jc w:val="center"/>
        </w:trPr>
        <w:tc>
          <w:tcPr>
            <w:tcW w:w="2190" w:type="dxa"/>
            <w:shd w:val="clear" w:color="auto" w:fill="auto"/>
          </w:tcPr>
          <w:p w:rsidR="00AB0112" w:rsidRPr="00FE1597" w:rsidRDefault="00FE1597" w:rsidP="00F8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7449" w:type="dxa"/>
            <w:shd w:val="clear" w:color="auto" w:fill="auto"/>
          </w:tcPr>
          <w:p w:rsidR="00AB0112" w:rsidRPr="00FE1597" w:rsidRDefault="00FE1597" w:rsidP="00F82A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</w:tr>
      <w:tr w:rsidR="00AB0112" w:rsidRPr="00FE1597" w:rsidTr="00FE1597">
        <w:trPr>
          <w:trHeight w:val="128"/>
          <w:jc w:val="center"/>
        </w:trPr>
        <w:tc>
          <w:tcPr>
            <w:tcW w:w="2190" w:type="dxa"/>
            <w:shd w:val="clear" w:color="auto" w:fill="auto"/>
          </w:tcPr>
          <w:p w:rsidR="00AB0112" w:rsidRPr="00FE1597" w:rsidRDefault="00AB0112" w:rsidP="00F82A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E1597">
              <w:rPr>
                <w:rFonts w:ascii="Times New Roman" w:hAnsi="Times New Roman" w:cs="Times New Roman"/>
                <w:lang w:val="uk-UA"/>
              </w:rPr>
              <w:t>Імунотест</w:t>
            </w:r>
            <w:proofErr w:type="spellEnd"/>
            <w:r w:rsidRPr="00FE1597">
              <w:rPr>
                <w:rFonts w:ascii="Times New Roman" w:hAnsi="Times New Roman" w:cs="Times New Roman"/>
                <w:lang w:val="uk-UA"/>
              </w:rPr>
              <w:t xml:space="preserve"> для кількісного визначення d-</w:t>
            </w:r>
            <w:proofErr w:type="spellStart"/>
            <w:r w:rsidRPr="00FE1597">
              <w:rPr>
                <w:rFonts w:ascii="Times New Roman" w:hAnsi="Times New Roman" w:cs="Times New Roman"/>
                <w:lang w:val="uk-UA"/>
              </w:rPr>
              <w:t>димеру</w:t>
            </w:r>
            <w:proofErr w:type="spellEnd"/>
            <w:r w:rsidRPr="00FE1597">
              <w:rPr>
                <w:rFonts w:ascii="Times New Roman" w:hAnsi="Times New Roman" w:cs="Times New Roman"/>
                <w:lang w:val="uk-UA"/>
              </w:rPr>
              <w:t xml:space="preserve"> /</w:t>
            </w:r>
            <w:proofErr w:type="spellStart"/>
            <w:r w:rsidRPr="00FE1597">
              <w:rPr>
                <w:rFonts w:ascii="Times New Roman" w:hAnsi="Times New Roman" w:cs="Times New Roman"/>
                <w:lang w:val="uk-UA"/>
              </w:rPr>
              <w:t>Roche</w:t>
            </w:r>
            <w:proofErr w:type="spellEnd"/>
            <w:r w:rsidRPr="00FE1597">
              <w:rPr>
                <w:rFonts w:ascii="Times New Roman" w:hAnsi="Times New Roman" w:cs="Times New Roman"/>
                <w:lang w:val="uk-UA"/>
              </w:rPr>
              <w:t xml:space="preserve"> CARDIAC D-</w:t>
            </w:r>
            <w:proofErr w:type="spellStart"/>
            <w:r w:rsidRPr="00FE1597">
              <w:rPr>
                <w:rFonts w:ascii="Times New Roman" w:hAnsi="Times New Roman" w:cs="Times New Roman"/>
                <w:lang w:val="uk-UA"/>
              </w:rPr>
              <w:t>Dimer</w:t>
            </w:r>
            <w:proofErr w:type="spellEnd"/>
          </w:p>
        </w:tc>
        <w:tc>
          <w:tcPr>
            <w:tcW w:w="7449" w:type="dxa"/>
            <w:shd w:val="clear" w:color="auto" w:fill="auto"/>
          </w:tcPr>
          <w:p w:rsidR="00AB0112" w:rsidRPr="00FE1597" w:rsidRDefault="00AB0112" w:rsidP="00F82A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Кількісний імунологічний тест для визначення d-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димеру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гепаринізованої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венозної крові для використання з приладом 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cobas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h 232 (обов’язково повинен бути сумісним).</w:t>
            </w:r>
          </w:p>
          <w:p w:rsidR="00AB0112" w:rsidRPr="00FE1597" w:rsidRDefault="00AB0112" w:rsidP="00F82A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Один тест повинен містити:</w:t>
            </w:r>
          </w:p>
          <w:p w:rsidR="00AB0112" w:rsidRPr="00FE1597" w:rsidRDefault="00AB0112" w:rsidP="00AB011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Біотинільовані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мишачі 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моноклональні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анти-d-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димерні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антитіла ≥ 1,0 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мкг</w:t>
            </w:r>
            <w:proofErr w:type="spellEnd"/>
          </w:p>
          <w:p w:rsidR="00AB0112" w:rsidRPr="00FE1597" w:rsidRDefault="00AB0112" w:rsidP="00AB011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Мишачі 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моноклональні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анти-d-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димерні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антитіла, мічені золотом, ≥ 1,0 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мкг</w:t>
            </w:r>
            <w:proofErr w:type="spellEnd"/>
          </w:p>
          <w:p w:rsidR="00AB0112" w:rsidRPr="00FE1597" w:rsidRDefault="00AB0112" w:rsidP="00AB011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Буфер і нереактивні компоненти ≥ 2,8 мг</w:t>
            </w:r>
          </w:p>
          <w:p w:rsidR="00AB0112" w:rsidRPr="00FE1597" w:rsidRDefault="00AB0112" w:rsidP="00F82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Умови зберігання та показники стабільності: </w:t>
            </w:r>
          </w:p>
          <w:p w:rsidR="00AB0112" w:rsidRPr="00FE1597" w:rsidRDefault="00AB0112" w:rsidP="00AB011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зберігання за температури в діапазоні  2‑ 8 °C ( допускається зберігання протягом 5-7 днів за кімнатної температури);</w:t>
            </w:r>
          </w:p>
          <w:p w:rsidR="00AB0112" w:rsidRPr="00FE1597" w:rsidRDefault="00AB0112" w:rsidP="00AB011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стабільність зразка: 8 годин за кімнатної температури.</w:t>
            </w:r>
          </w:p>
          <w:p w:rsidR="00AB0112" w:rsidRPr="00FE1597" w:rsidRDefault="00AB0112" w:rsidP="00F82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Кожен комплект повинен містити специфічний для кожної партії кодовий чіп (для зчитування приладом 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cobas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h 232).</w:t>
            </w:r>
          </w:p>
          <w:p w:rsidR="00AB0112" w:rsidRPr="00FE1597" w:rsidRDefault="00AB0112" w:rsidP="00F82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Упаковка (фасування):  10 тест-смужок</w:t>
            </w:r>
          </w:p>
        </w:tc>
      </w:tr>
      <w:tr w:rsidR="00AB0112" w:rsidRPr="00FE1597" w:rsidTr="00FE1597">
        <w:trPr>
          <w:trHeight w:val="274"/>
          <w:jc w:val="center"/>
        </w:trPr>
        <w:tc>
          <w:tcPr>
            <w:tcW w:w="2190" w:type="dxa"/>
            <w:shd w:val="clear" w:color="auto" w:fill="auto"/>
          </w:tcPr>
          <w:p w:rsidR="00AB0112" w:rsidRPr="00FE1597" w:rsidRDefault="00AB0112" w:rsidP="00F82A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lang w:val="uk-UA"/>
              </w:rPr>
              <w:lastRenderedPageBreak/>
              <w:t xml:space="preserve">Імунологічний тест для виявлення сердечного </w:t>
            </w:r>
            <w:proofErr w:type="spellStart"/>
            <w:r w:rsidRPr="00FE1597">
              <w:rPr>
                <w:rFonts w:ascii="Times New Roman" w:hAnsi="Times New Roman" w:cs="Times New Roman"/>
                <w:lang w:val="uk-UA"/>
              </w:rPr>
              <w:t>тропоніну</w:t>
            </w:r>
            <w:proofErr w:type="spellEnd"/>
            <w:r w:rsidRPr="00FE1597">
              <w:rPr>
                <w:rFonts w:ascii="Times New Roman" w:hAnsi="Times New Roman" w:cs="Times New Roman"/>
                <w:lang w:val="uk-UA"/>
              </w:rPr>
              <w:t xml:space="preserve"> Т / </w:t>
            </w:r>
            <w:proofErr w:type="spellStart"/>
            <w:r w:rsidRPr="00FE1597">
              <w:rPr>
                <w:rFonts w:ascii="Times New Roman" w:hAnsi="Times New Roman" w:cs="Times New Roman"/>
                <w:lang w:val="uk-UA"/>
              </w:rPr>
              <w:t>Roche</w:t>
            </w:r>
            <w:proofErr w:type="spellEnd"/>
            <w:r w:rsidRPr="00FE1597">
              <w:rPr>
                <w:rFonts w:ascii="Times New Roman" w:hAnsi="Times New Roman" w:cs="Times New Roman"/>
                <w:lang w:val="uk-UA"/>
              </w:rPr>
              <w:t xml:space="preserve"> CARDIAC POC </w:t>
            </w:r>
            <w:proofErr w:type="spellStart"/>
            <w:r w:rsidRPr="00FE1597">
              <w:rPr>
                <w:rFonts w:ascii="Times New Roman" w:hAnsi="Times New Roman" w:cs="Times New Roman"/>
                <w:lang w:val="uk-UA"/>
              </w:rPr>
              <w:t>Troponin</w:t>
            </w:r>
            <w:proofErr w:type="spellEnd"/>
            <w:r w:rsidRPr="00FE1597">
              <w:rPr>
                <w:rFonts w:ascii="Times New Roman" w:hAnsi="Times New Roman" w:cs="Times New Roman"/>
                <w:lang w:val="uk-UA"/>
              </w:rPr>
              <w:t xml:space="preserve"> T</w:t>
            </w:r>
          </w:p>
        </w:tc>
        <w:tc>
          <w:tcPr>
            <w:tcW w:w="7449" w:type="dxa"/>
            <w:shd w:val="clear" w:color="auto" w:fill="auto"/>
          </w:tcPr>
          <w:p w:rsidR="00AB0112" w:rsidRPr="00FE1597" w:rsidRDefault="00AB0112" w:rsidP="00F82A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Кількісний імунологічний тест для виявлення серцевого 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тропоніну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Т у 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гепаринізованій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венозній крові для використання при роботі з приладом 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cobas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h 232 (обов’язково повинен бути сумісним). </w:t>
            </w:r>
          </w:p>
          <w:p w:rsidR="00AB0112" w:rsidRPr="00FE1597" w:rsidRDefault="00AB0112" w:rsidP="00F82A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Тест призначений для ранньої діагностики гострого інфаркту міокарда та виявлення пацієнтів з підвищеним ризиком летального наслідку.</w:t>
            </w:r>
          </w:p>
          <w:p w:rsidR="00AB0112" w:rsidRPr="00FE1597" w:rsidRDefault="00AB0112" w:rsidP="00F82A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Один тест включає:</w:t>
            </w:r>
          </w:p>
          <w:p w:rsidR="00AB0112" w:rsidRPr="00FE1597" w:rsidRDefault="00AB0112" w:rsidP="00AB0112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459" w:hanging="26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Біотинільовані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мишачі 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моноклональні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антитіла проти 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тропоніну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Т, 0,23 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мкг</w:t>
            </w:r>
            <w:proofErr w:type="spellEnd"/>
          </w:p>
          <w:p w:rsidR="00AB0112" w:rsidRPr="00FE1597" w:rsidRDefault="00AB0112" w:rsidP="00AB0112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459" w:hanging="26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Мічені золотом мишачі 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моноклональні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антитіла проти 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тропоніну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Т, 0,11 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мкг</w:t>
            </w:r>
            <w:proofErr w:type="spellEnd"/>
          </w:p>
          <w:p w:rsidR="00AB0112" w:rsidRPr="00FE1597" w:rsidRDefault="00AB0112" w:rsidP="00AB0112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459" w:hanging="26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Буфер та нереактивні компоненти, 2,3 мг</w:t>
            </w:r>
          </w:p>
          <w:p w:rsidR="00AB0112" w:rsidRPr="00FE1597" w:rsidRDefault="00AB0112" w:rsidP="00F82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Умови зберігання та показники стабільності: </w:t>
            </w:r>
          </w:p>
          <w:p w:rsidR="00AB0112" w:rsidRPr="00FE1597" w:rsidRDefault="00AB0112" w:rsidP="00AB011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зберігання за температури в діапазоні  2‑ 8 °C ( допускається зберігання протягом 5-7 днів за кімнатної температури);</w:t>
            </w:r>
          </w:p>
          <w:p w:rsidR="00AB0112" w:rsidRPr="00FE1597" w:rsidRDefault="00AB0112" w:rsidP="00AB011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стабільність зразка: 8 годин за кімнатної температури.</w:t>
            </w:r>
          </w:p>
          <w:p w:rsidR="00AB0112" w:rsidRPr="00FE1597" w:rsidRDefault="00AB0112" w:rsidP="00F82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Кожен комплект повинен містити специфічний для кожної партії кодовий чіп (для зчитування приладом 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cobas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h 232)</w:t>
            </w:r>
          </w:p>
          <w:p w:rsidR="00AB0112" w:rsidRPr="00FE1597" w:rsidRDefault="00AB0112" w:rsidP="00F82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Упаковка (фасування):  10 тест-смужок</w:t>
            </w:r>
          </w:p>
        </w:tc>
      </w:tr>
      <w:tr w:rsidR="00AB0112" w:rsidRPr="00FE1597" w:rsidTr="00FE1597">
        <w:trPr>
          <w:trHeight w:val="274"/>
          <w:jc w:val="center"/>
        </w:trPr>
        <w:tc>
          <w:tcPr>
            <w:tcW w:w="2190" w:type="dxa"/>
            <w:shd w:val="clear" w:color="auto" w:fill="auto"/>
          </w:tcPr>
          <w:p w:rsidR="00AB0112" w:rsidRPr="00FE1597" w:rsidRDefault="00AB0112" w:rsidP="00F82A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lang w:val="uk-UA"/>
              </w:rPr>
              <w:t xml:space="preserve">Тест </w:t>
            </w:r>
            <w:proofErr w:type="spellStart"/>
            <w:r w:rsidRPr="00FE1597">
              <w:rPr>
                <w:rFonts w:ascii="Times New Roman" w:hAnsi="Times New Roman" w:cs="Times New Roman"/>
                <w:lang w:val="uk-UA"/>
              </w:rPr>
              <w:t>Roche</w:t>
            </w:r>
            <w:proofErr w:type="spellEnd"/>
            <w:r w:rsidRPr="00FE1597">
              <w:rPr>
                <w:rFonts w:ascii="Times New Roman" w:hAnsi="Times New Roman" w:cs="Times New Roman"/>
                <w:lang w:val="uk-UA"/>
              </w:rPr>
              <w:t xml:space="preserve"> КАРДІАК для кількісного визначення N-кінцевого </w:t>
            </w:r>
            <w:proofErr w:type="spellStart"/>
            <w:r w:rsidRPr="00FE1597">
              <w:rPr>
                <w:rFonts w:ascii="Times New Roman" w:hAnsi="Times New Roman" w:cs="Times New Roman"/>
                <w:lang w:val="uk-UA"/>
              </w:rPr>
              <w:t>пропептиду</w:t>
            </w:r>
            <w:proofErr w:type="spellEnd"/>
            <w:r w:rsidRPr="00FE159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E1597">
              <w:rPr>
                <w:rFonts w:ascii="Times New Roman" w:hAnsi="Times New Roman" w:cs="Times New Roman"/>
                <w:lang w:val="uk-UA"/>
              </w:rPr>
              <w:t>натрійуретичного</w:t>
            </w:r>
            <w:proofErr w:type="spellEnd"/>
            <w:r w:rsidRPr="00FE1597">
              <w:rPr>
                <w:rFonts w:ascii="Times New Roman" w:hAnsi="Times New Roman" w:cs="Times New Roman"/>
                <w:lang w:val="uk-UA"/>
              </w:rPr>
              <w:t xml:space="preserve"> гормону (NT </w:t>
            </w:r>
            <w:proofErr w:type="spellStart"/>
            <w:r w:rsidRPr="00FE1597">
              <w:rPr>
                <w:rFonts w:ascii="Times New Roman" w:hAnsi="Times New Roman" w:cs="Times New Roman"/>
                <w:lang w:val="uk-UA"/>
              </w:rPr>
              <w:t>proBNP</w:t>
            </w:r>
            <w:proofErr w:type="spellEnd"/>
            <w:r w:rsidRPr="00FE159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7449" w:type="dxa"/>
            <w:shd w:val="clear" w:color="auto" w:fill="auto"/>
          </w:tcPr>
          <w:p w:rsidR="00AB0112" w:rsidRPr="00FE1597" w:rsidRDefault="00AB0112" w:rsidP="00F82A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Тест 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Roche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CARDIAC POC NT‑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proBNP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є діагностичним тестом 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in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vitro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для кількісного визначення NT‑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proBNP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у 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гепаринізованій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венозній крові за допомогою приладу 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cobas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h 232 (обов’язково повинен бути сумісним).</w:t>
            </w:r>
          </w:p>
          <w:p w:rsidR="00AB0112" w:rsidRPr="00FE1597" w:rsidRDefault="00AB0112" w:rsidP="00F82A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Тест 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Roche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CARDIAC POC NT‑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proBNP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використовується як допоміжний засіб у діагностиці серцевої недостатності, моніторингу пацієнтів із компенсованою дисфункцією лівого шлуночка, а також у стратифікації ризику в пацієнтів із гострим коронарним синдромом.</w:t>
            </w:r>
          </w:p>
          <w:p w:rsidR="00AB0112" w:rsidRPr="00FE1597" w:rsidRDefault="00AB0112" w:rsidP="00F82A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Тест 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допомогає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в оцінці серцево-судинного ризику в пацієнтів із цукровим діабетом 2 типу. За допомогою тесту можливе виявлення осіб похилого віку з високим ризиком розвитку фібриляції передсердь.</w:t>
            </w:r>
          </w:p>
          <w:p w:rsidR="00AB0112" w:rsidRPr="00FE1597" w:rsidRDefault="00AB0112" w:rsidP="00F82A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1 тест містить:</w:t>
            </w:r>
          </w:p>
          <w:p w:rsidR="00AB0112" w:rsidRPr="00FE1597" w:rsidRDefault="00AB0112" w:rsidP="00AB0112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Біотинильовані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поліклональні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антитіла до NT‑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proBNP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&gt; 0.4 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мкг</w:t>
            </w:r>
            <w:proofErr w:type="spellEnd"/>
          </w:p>
          <w:p w:rsidR="00AB0112" w:rsidRPr="00FE1597" w:rsidRDefault="00AB0112" w:rsidP="00AB0112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Мічені золотом 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моноклональні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антитіла до NT‑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proBNP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&gt; 0.1 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мкг</w:t>
            </w:r>
            <w:proofErr w:type="spellEnd"/>
          </w:p>
          <w:p w:rsidR="00AB0112" w:rsidRPr="00FE1597" w:rsidRDefault="00AB0112" w:rsidP="00AB0112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Буфер і нереактивні компоненти &gt; 2.0 мг</w:t>
            </w:r>
          </w:p>
          <w:p w:rsidR="00AB0112" w:rsidRPr="00FE1597" w:rsidRDefault="00AB0112" w:rsidP="00F82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Умови зберігання та показники стабільності: </w:t>
            </w:r>
          </w:p>
          <w:p w:rsidR="00AB0112" w:rsidRPr="00FE1597" w:rsidRDefault="00AB0112" w:rsidP="00AB011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зберігання за температури в діапазоні  2‑ 8 °C ( допускається зберігання протягом 5-7 днів за кімнатної температури);</w:t>
            </w:r>
          </w:p>
          <w:p w:rsidR="00AB0112" w:rsidRPr="00FE1597" w:rsidRDefault="00AB0112" w:rsidP="00AB0112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стабільність зразка: 8 годин за кімнатної температури.</w:t>
            </w:r>
          </w:p>
          <w:p w:rsidR="00AB0112" w:rsidRPr="00FE1597" w:rsidRDefault="00AB0112" w:rsidP="00F82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Кожен комплект повинен містити специфічний для кожної партії кодовий чіп (для зчитування приладом </w:t>
            </w:r>
            <w:proofErr w:type="spellStart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cobas</w:t>
            </w:r>
            <w:proofErr w:type="spellEnd"/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 xml:space="preserve"> h 232)</w:t>
            </w:r>
          </w:p>
          <w:p w:rsidR="00AB0112" w:rsidRPr="00FE1597" w:rsidRDefault="00AB0112" w:rsidP="00F82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E1597">
              <w:rPr>
                <w:rFonts w:ascii="Times New Roman" w:hAnsi="Times New Roman" w:cs="Times New Roman"/>
                <w:color w:val="000000"/>
                <w:lang w:val="uk-UA"/>
              </w:rPr>
              <w:t>Упаковка (фасування):  10 тест-смужок</w:t>
            </w:r>
          </w:p>
        </w:tc>
      </w:tr>
    </w:tbl>
    <w:p w:rsidR="00212A6D" w:rsidRPr="00FE1597" w:rsidRDefault="00212A6D" w:rsidP="006E05BE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6E05BE" w:rsidRPr="00FE1597" w:rsidTr="0005632D">
        <w:trPr>
          <w:trHeight w:val="131"/>
        </w:trPr>
        <w:tc>
          <w:tcPr>
            <w:tcW w:w="3664" w:type="dxa"/>
          </w:tcPr>
          <w:p w:rsidR="006E05BE" w:rsidRPr="00FE1597" w:rsidRDefault="006E05BE" w:rsidP="00831B82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uk-UA"/>
              </w:rPr>
            </w:pPr>
            <w:r w:rsidRPr="00FE1597">
              <w:rPr>
                <w:rFonts w:ascii="Times New Roman" w:hAnsi="Times New Roman" w:cs="Times New Roman"/>
                <w:b/>
                <w:lang w:val="uk-UA"/>
              </w:rPr>
              <w:t>Уповноважена особа</w:t>
            </w:r>
            <w:r w:rsidR="00831B82" w:rsidRPr="00FE1597">
              <w:rPr>
                <w:rFonts w:ascii="Times New Roman" w:hAnsi="Times New Roman" w:cs="Times New Roman"/>
                <w:b/>
                <w:lang w:val="uk-UA"/>
              </w:rPr>
              <w:t xml:space="preserve">, фахівець з публічних закупівель </w:t>
            </w:r>
            <w:r w:rsidRPr="00FE1597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>ДУ «ТМО МВС України по Чернігівській області»</w:t>
            </w:r>
            <w:r w:rsidRPr="00FE1597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6E05BE" w:rsidRPr="00FE1597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bookmarkStart w:id="1" w:name="_GoBack"/>
            <w:bookmarkEnd w:id="1"/>
            <w:r w:rsidRPr="00FE1597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________________</w:t>
            </w:r>
          </w:p>
          <w:p w:rsidR="006E05BE" w:rsidRPr="00FE1597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15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підпис</w:t>
            </w:r>
          </w:p>
        </w:tc>
        <w:tc>
          <w:tcPr>
            <w:tcW w:w="2895" w:type="dxa"/>
            <w:vAlign w:val="center"/>
          </w:tcPr>
          <w:p w:rsidR="006E05BE" w:rsidRPr="00FE1597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i/>
                <w:iCs/>
                <w:lang w:val="uk-UA"/>
              </w:rPr>
            </w:pPr>
          </w:p>
          <w:p w:rsidR="006E05BE" w:rsidRPr="00FE1597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E1597">
              <w:rPr>
                <w:rFonts w:ascii="Times New Roman" w:hAnsi="Times New Roman" w:cs="Times New Roman"/>
                <w:b/>
                <w:bCs/>
                <w:lang w:val="uk-UA"/>
              </w:rPr>
              <w:t>Галина ШЕВЧЕНКО</w:t>
            </w:r>
          </w:p>
          <w:p w:rsidR="006E05BE" w:rsidRPr="00FE1597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</w:p>
          <w:p w:rsidR="006E05BE" w:rsidRPr="00FE1597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032E8" w:rsidRPr="00FE1597" w:rsidRDefault="003032E8">
      <w:pPr>
        <w:rPr>
          <w:lang w:val="uk-UA"/>
        </w:rPr>
      </w:pPr>
    </w:p>
    <w:sectPr w:rsidR="003032E8" w:rsidRPr="00FE1597" w:rsidSect="005863A2">
      <w:pgSz w:w="11906" w:h="16838"/>
      <w:pgMar w:top="1276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FE0"/>
    <w:multiLevelType w:val="hybridMultilevel"/>
    <w:tmpl w:val="9D822A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6CAD"/>
    <w:multiLevelType w:val="hybridMultilevel"/>
    <w:tmpl w:val="CE7AD5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23BE"/>
    <w:multiLevelType w:val="multilevel"/>
    <w:tmpl w:val="B7D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07532"/>
    <w:multiLevelType w:val="hybridMultilevel"/>
    <w:tmpl w:val="B118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05355"/>
    <w:multiLevelType w:val="hybridMultilevel"/>
    <w:tmpl w:val="78A285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F0FB5"/>
    <w:multiLevelType w:val="hybridMultilevel"/>
    <w:tmpl w:val="70225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E5622"/>
    <w:multiLevelType w:val="hybridMultilevel"/>
    <w:tmpl w:val="FCD643AC"/>
    <w:lvl w:ilvl="0" w:tplc="C0667982">
      <w:start w:val="5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0D22658"/>
    <w:multiLevelType w:val="hybridMultilevel"/>
    <w:tmpl w:val="7BF6F2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6F"/>
    <w:rsid w:val="0003227C"/>
    <w:rsid w:val="00093A3A"/>
    <w:rsid w:val="000A16A7"/>
    <w:rsid w:val="000D6E18"/>
    <w:rsid w:val="001350CA"/>
    <w:rsid w:val="00186C02"/>
    <w:rsid w:val="00200EB1"/>
    <w:rsid w:val="00212A6D"/>
    <w:rsid w:val="00290369"/>
    <w:rsid w:val="00293759"/>
    <w:rsid w:val="002E2E11"/>
    <w:rsid w:val="003032E8"/>
    <w:rsid w:val="00326A2C"/>
    <w:rsid w:val="00384621"/>
    <w:rsid w:val="003A4BEA"/>
    <w:rsid w:val="00411E34"/>
    <w:rsid w:val="004410B2"/>
    <w:rsid w:val="004812C9"/>
    <w:rsid w:val="004D051D"/>
    <w:rsid w:val="004D71B1"/>
    <w:rsid w:val="004F4622"/>
    <w:rsid w:val="00514E3E"/>
    <w:rsid w:val="00526953"/>
    <w:rsid w:val="005555AF"/>
    <w:rsid w:val="0056063A"/>
    <w:rsid w:val="005610FC"/>
    <w:rsid w:val="005660EF"/>
    <w:rsid w:val="005863A2"/>
    <w:rsid w:val="00593937"/>
    <w:rsid w:val="005A5313"/>
    <w:rsid w:val="005B7DE8"/>
    <w:rsid w:val="005E1F90"/>
    <w:rsid w:val="005E2E6F"/>
    <w:rsid w:val="00621263"/>
    <w:rsid w:val="00640642"/>
    <w:rsid w:val="00687021"/>
    <w:rsid w:val="006C092B"/>
    <w:rsid w:val="006E05BE"/>
    <w:rsid w:val="0072210B"/>
    <w:rsid w:val="00741CC0"/>
    <w:rsid w:val="00831B82"/>
    <w:rsid w:val="00854480"/>
    <w:rsid w:val="008A20D1"/>
    <w:rsid w:val="008D13BC"/>
    <w:rsid w:val="008E4C0E"/>
    <w:rsid w:val="00993AD9"/>
    <w:rsid w:val="009E1ADF"/>
    <w:rsid w:val="009E78F3"/>
    <w:rsid w:val="00A07EBB"/>
    <w:rsid w:val="00A228FF"/>
    <w:rsid w:val="00A31E67"/>
    <w:rsid w:val="00AB0112"/>
    <w:rsid w:val="00AE4FD6"/>
    <w:rsid w:val="00B62C35"/>
    <w:rsid w:val="00BB7F48"/>
    <w:rsid w:val="00BF1918"/>
    <w:rsid w:val="00C809F3"/>
    <w:rsid w:val="00C90181"/>
    <w:rsid w:val="00C938B5"/>
    <w:rsid w:val="00CB5547"/>
    <w:rsid w:val="00CC3F67"/>
    <w:rsid w:val="00D758C1"/>
    <w:rsid w:val="00D9691B"/>
    <w:rsid w:val="00EA49FF"/>
    <w:rsid w:val="00ED4A65"/>
    <w:rsid w:val="00EE7E6D"/>
    <w:rsid w:val="00F1743A"/>
    <w:rsid w:val="00F46367"/>
    <w:rsid w:val="00F55E03"/>
    <w:rsid w:val="00FB4837"/>
    <w:rsid w:val="00FE1597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1EE92-1306-461E-8DF9-E621BAEC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E05BE"/>
    <w:rPr>
      <w:color w:val="0000FF"/>
      <w:u w:val="single"/>
    </w:rPr>
  </w:style>
  <w:style w:type="table" w:styleId="a4">
    <w:name w:val="Table Grid"/>
    <w:basedOn w:val="a1"/>
    <w:uiPriority w:val="39"/>
    <w:rsid w:val="0074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4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F174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A5313"/>
    <w:rPr>
      <w:rFonts w:ascii="Segoe UI" w:hAnsi="Segoe UI" w:cs="Segoe UI"/>
      <w:sz w:val="18"/>
      <w:szCs w:val="18"/>
    </w:rPr>
  </w:style>
  <w:style w:type="character" w:customStyle="1" w:styleId="a7">
    <w:name w:val="Абзац списку Знак"/>
    <w:link w:val="a6"/>
    <w:uiPriority w:val="34"/>
    <w:qFormat/>
    <w:locked/>
    <w:rsid w:val="0021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703</Words>
  <Characters>4799</Characters>
  <Application>Microsoft Office Word</Application>
  <DocSecurity>0</DocSecurity>
  <Lines>126</Lines>
  <Paragraphs>65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420_5</cp:lastModifiedBy>
  <cp:revision>54</cp:revision>
  <cp:lastPrinted>2024-04-19T13:44:00Z</cp:lastPrinted>
  <dcterms:created xsi:type="dcterms:W3CDTF">2023-09-14T12:44:00Z</dcterms:created>
  <dcterms:modified xsi:type="dcterms:W3CDTF">2024-04-19T13:45:00Z</dcterms:modified>
</cp:coreProperties>
</file>